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766AB9">
      <w:pPr>
        <w:spacing w:after="0" w:line="360" w:lineRule="auto"/>
      </w:pPr>
    </w:p>
    <w:p w:rsidR="0078314A" w:rsidP="00766AB9">
      <w:pPr>
        <w:spacing w:after="0" w:line="360" w:lineRule="auto"/>
      </w:pPr>
    </w:p>
    <w:p w:rsidR="0078314A" w:rsidP="00766AB9">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AA2B9C" w:rsidP="00AA2B9C">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AA2B9C" w:rsidRPr="00F77117" w:rsidP="00AA2B9C">
            <w:r w:rsidRPr="00F77117">
              <w:t>TŞ.059</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AA2B9C" w:rsidP="00AA2B9C">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AA2B9C" w:rsidRPr="00F77117" w:rsidP="00AA2B9C">
            <w:r w:rsidRPr="00F77117">
              <w:t>27.11.2018</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AA2B9C" w:rsidP="00AA2B9C">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AA2B9C" w:rsidRPr="00F77117" w:rsidP="00AA2B9C">
            <w:r w:rsidRPr="00F77117">
              <w:t>1</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AA2B9C" w:rsidP="00AA2B9C">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AA2B9C" w:rsidP="00AA2B9C">
            <w:r w:rsidRPr="00F77117">
              <w:t>9.12.2020</w:t>
            </w:r>
          </w:p>
        </w:tc>
      </w:tr>
    </w:tbl>
    <w:p w:rsidR="0078314A" w:rsidP="00766AB9">
      <w:pPr>
        <w:spacing w:after="0" w:line="360" w:lineRule="auto"/>
      </w:pPr>
    </w:p>
    <w:p w:rsidR="0078314A" w:rsidP="00766AB9">
      <w:pPr>
        <w:spacing w:after="0" w:line="360" w:lineRule="auto"/>
      </w:pPr>
    </w:p>
    <w:tbl>
      <w:tblPr>
        <w:tblStyle w:val="TableGrid"/>
        <w:tblW w:w="68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0"/>
        <w:gridCol w:w="2020"/>
        <w:gridCol w:w="2414"/>
      </w:tblGrid>
      <w:tr w:rsidTr="00A343BF">
        <w:tblPrEx>
          <w:tblW w:w="68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78314A" w:rsidP="00A343BF">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78314A" w:rsidP="00A343BF">
            <w:pPr>
              <w:spacing w:line="360" w:lineRule="auto"/>
              <w:jc w:val="center"/>
              <w:rPr>
                <w:b/>
              </w:rPr>
            </w:pPr>
            <w:r>
              <w:rPr>
                <w:b/>
              </w:rPr>
              <w:t>İsim</w:t>
            </w:r>
          </w:p>
        </w:tc>
        <w:tc>
          <w:tcPr>
            <w:tcW w:w="2380" w:type="dxa"/>
            <w:tcBorders>
              <w:top w:val="double" w:sz="4" w:space="0" w:color="auto"/>
              <w:left w:val="double" w:sz="4" w:space="0" w:color="auto"/>
              <w:bottom w:val="double" w:sz="4" w:space="0" w:color="auto"/>
              <w:right w:val="double" w:sz="4" w:space="0" w:color="auto"/>
            </w:tcBorders>
            <w:vAlign w:val="center"/>
            <w:hideMark/>
          </w:tcPr>
          <w:p w:rsidR="0078314A" w:rsidP="00A343BF">
            <w:pPr>
              <w:spacing w:line="360" w:lineRule="auto"/>
              <w:jc w:val="center"/>
              <w:rPr>
                <w:b/>
              </w:rPr>
            </w:pPr>
            <w:r>
              <w:rPr>
                <w:b/>
              </w:rPr>
              <w:t>Pozisyon</w:t>
            </w:r>
          </w:p>
        </w:tc>
      </w:tr>
      <w:tr w:rsidTr="003F45BD">
        <w:tblPrEx>
          <w:tblW w:w="6894"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AA2B9C" w:rsidP="00AA2B9C">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hideMark/>
          </w:tcPr>
          <w:p w:rsidR="00AA2B9C" w:rsidRPr="00CB0C1F" w:rsidP="00AA2B9C">
            <w:r w:rsidRPr="00CB0C1F">
              <w:t>ERKAN ŞAHİN</w:t>
            </w:r>
          </w:p>
        </w:tc>
        <w:tc>
          <w:tcPr>
            <w:tcW w:w="2380" w:type="dxa"/>
            <w:tcBorders>
              <w:top w:val="double" w:sz="4" w:space="0" w:color="auto"/>
              <w:left w:val="double" w:sz="4" w:space="0" w:color="auto"/>
              <w:bottom w:val="double" w:sz="4" w:space="0" w:color="auto"/>
              <w:right w:val="double" w:sz="4" w:space="0" w:color="auto"/>
            </w:tcBorders>
            <w:hideMark/>
          </w:tcPr>
          <w:p w:rsidR="00AA2B9C" w:rsidRPr="00CB0C1F" w:rsidP="00AA2B9C"/>
        </w:tc>
      </w:tr>
      <w:tr w:rsidTr="003F45BD">
        <w:tblPrEx>
          <w:tblW w:w="6894"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AA2B9C" w:rsidP="00AA2B9C">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hideMark/>
          </w:tcPr>
          <w:p w:rsidR="00AA2B9C" w:rsidRPr="00CB0C1F" w:rsidP="00AA2B9C">
            <w:r w:rsidRPr="00CB0C1F">
              <w:t>VOLKAN ÇELİK</w:t>
            </w:r>
          </w:p>
        </w:tc>
        <w:tc>
          <w:tcPr>
            <w:tcW w:w="2380" w:type="dxa"/>
            <w:tcBorders>
              <w:top w:val="double" w:sz="4" w:space="0" w:color="auto"/>
              <w:left w:val="double" w:sz="4" w:space="0" w:color="auto"/>
              <w:bottom w:val="double" w:sz="4" w:space="0" w:color="auto"/>
              <w:right w:val="double" w:sz="4" w:space="0" w:color="auto"/>
            </w:tcBorders>
            <w:hideMark/>
          </w:tcPr>
          <w:p w:rsidR="00AA2B9C" w:rsidP="00AA2B9C">
            <w:r w:rsidRPr="00CB0C1F">
              <w:t>Sistem İşletme Direktörü</w:t>
            </w:r>
          </w:p>
        </w:tc>
      </w:tr>
    </w:tbl>
    <w:p w:rsidR="0078314A" w:rsidP="00766AB9">
      <w:pPr>
        <w:spacing w:after="0" w:line="360" w:lineRule="auto"/>
      </w:pPr>
    </w:p>
    <w:p w:rsidR="0078314A" w:rsidP="00766AB9">
      <w:pPr>
        <w:spacing w:after="0" w:line="360" w:lineRule="auto"/>
      </w:pPr>
    </w:p>
    <w:p w:rsidR="006870A0" w:rsidP="00766AB9">
      <w:pPr>
        <w:spacing w:after="0" w:line="360" w:lineRule="auto"/>
      </w:pPr>
    </w:p>
    <w:p w:rsidR="0046536D" w:rsidP="00766AB9">
      <w:pPr>
        <w:spacing w:after="0" w:line="360" w:lineRule="auto"/>
      </w:pPr>
    </w:p>
    <w:p w:rsidR="00BB7875" w:rsidP="00766AB9">
      <w:pPr>
        <w:pStyle w:val="Default"/>
        <w:spacing w:line="360" w:lineRule="auto"/>
      </w:pPr>
      <w:r>
        <w:br w:type="page"/>
      </w:r>
    </w:p>
    <w:p w:rsidR="0018149E" w:rsidP="00766AB9">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8149E" w:rsidP="00766AB9">
          <w:pPr>
            <w:pStyle w:val="TOCHeading"/>
            <w:numPr>
              <w:ilvl w:val="0"/>
              <w:numId w:val="1"/>
            </w:numPr>
            <w:spacing w:before="0" w:after="0" w:line="360" w:lineRule="auto"/>
            <w:jc w:val="both"/>
          </w:pPr>
          <w:r>
            <w:t>İÇİNDEK</w:t>
          </w:r>
          <w:bookmarkStart w:id="0" w:name="_GoBack"/>
          <w:bookmarkEnd w:id="0"/>
          <w:r>
            <w:t>İLER</w:t>
          </w:r>
        </w:p>
        <w:p w:rsidR="002F7E04">
          <w:pPr>
            <w:pStyle w:val="TOC1"/>
            <w:tabs>
              <w:tab w:val="left" w:pos="440"/>
              <w:tab w:val="right" w:leader="dot" w:pos="9060"/>
            </w:tabs>
            <w:rPr>
              <w:noProof/>
              <w:lang w:eastAsia="tr-TR"/>
            </w:rPr>
          </w:pPr>
          <w:r>
            <w:fldChar w:fldCharType="begin"/>
          </w:r>
          <w:r>
            <w:instrText xml:space="preserve"> TOC \o "1-3" \h \z \u </w:instrText>
          </w:r>
          <w:r>
            <w:fldChar w:fldCharType="separate"/>
          </w:r>
          <w:hyperlink w:anchor="_Toc58574637" w:history="1">
            <w:r w:rsidRPr="00E65C24">
              <w:rPr>
                <w:rStyle w:val="Hyperlink"/>
                <w:noProof/>
              </w:rPr>
              <w:t>2</w:t>
            </w:r>
            <w:r>
              <w:rPr>
                <w:noProof/>
                <w:lang w:eastAsia="tr-TR"/>
              </w:rPr>
              <w:tab/>
            </w:r>
            <w:r w:rsidRPr="00E65C24">
              <w:rPr>
                <w:rStyle w:val="Hyperlink"/>
                <w:noProof/>
              </w:rPr>
              <w:t>KONU</w:t>
            </w:r>
            <w:r>
              <w:rPr>
                <w:noProof/>
                <w:webHidden/>
              </w:rPr>
              <w:tab/>
            </w:r>
            <w:r>
              <w:rPr>
                <w:noProof/>
                <w:webHidden/>
              </w:rPr>
              <w:fldChar w:fldCharType="begin"/>
            </w:r>
            <w:r>
              <w:rPr>
                <w:noProof/>
                <w:webHidden/>
              </w:rPr>
              <w:instrText xml:space="preserve"> PAGEREF _Toc58574637 \h </w:instrText>
            </w:r>
            <w:r>
              <w:rPr>
                <w:noProof/>
                <w:webHidden/>
              </w:rPr>
              <w:fldChar w:fldCharType="separate"/>
            </w:r>
            <w:r>
              <w:rPr>
                <w:noProof/>
                <w:webHidden/>
              </w:rPr>
              <w:t>3</w:t>
            </w:r>
            <w:r>
              <w:rPr>
                <w:noProof/>
                <w:webHidden/>
              </w:rPr>
              <w:fldChar w:fldCharType="end"/>
            </w:r>
          </w:hyperlink>
        </w:p>
        <w:p w:rsidR="002F7E04">
          <w:pPr>
            <w:pStyle w:val="TOC1"/>
            <w:tabs>
              <w:tab w:val="left" w:pos="440"/>
              <w:tab w:val="right" w:leader="dot" w:pos="9060"/>
            </w:tabs>
            <w:rPr>
              <w:noProof/>
              <w:lang w:eastAsia="tr-TR"/>
            </w:rPr>
          </w:pPr>
          <w:hyperlink w:anchor="_Toc58574638" w:history="1">
            <w:r w:rsidRPr="00E65C24">
              <w:rPr>
                <w:rStyle w:val="Hyperlink"/>
                <w:noProof/>
              </w:rPr>
              <w:t>3</w:t>
            </w:r>
            <w:r>
              <w:rPr>
                <w:noProof/>
                <w:lang w:eastAsia="tr-TR"/>
              </w:rPr>
              <w:tab/>
            </w:r>
            <w:r w:rsidRPr="00E65C24">
              <w:rPr>
                <w:rStyle w:val="Hyperlink"/>
                <w:noProof/>
              </w:rPr>
              <w:t>TANIMLAR ve KISALTMALAR</w:t>
            </w:r>
            <w:r>
              <w:rPr>
                <w:noProof/>
                <w:webHidden/>
              </w:rPr>
              <w:tab/>
            </w:r>
            <w:r>
              <w:rPr>
                <w:noProof/>
                <w:webHidden/>
              </w:rPr>
              <w:fldChar w:fldCharType="begin"/>
            </w:r>
            <w:r>
              <w:rPr>
                <w:noProof/>
                <w:webHidden/>
              </w:rPr>
              <w:instrText xml:space="preserve"> PAGEREF _Toc58574638 \h </w:instrText>
            </w:r>
            <w:r>
              <w:rPr>
                <w:noProof/>
                <w:webHidden/>
              </w:rPr>
              <w:fldChar w:fldCharType="separate"/>
            </w:r>
            <w:r>
              <w:rPr>
                <w:noProof/>
                <w:webHidden/>
              </w:rPr>
              <w:t>3</w:t>
            </w:r>
            <w:r>
              <w:rPr>
                <w:noProof/>
                <w:webHidden/>
              </w:rPr>
              <w:fldChar w:fldCharType="end"/>
            </w:r>
          </w:hyperlink>
        </w:p>
        <w:p w:rsidR="002F7E04">
          <w:pPr>
            <w:pStyle w:val="TOC2"/>
            <w:tabs>
              <w:tab w:val="left" w:pos="880"/>
              <w:tab w:val="right" w:leader="dot" w:pos="9060"/>
            </w:tabs>
            <w:rPr>
              <w:noProof/>
              <w:lang w:eastAsia="tr-TR"/>
            </w:rPr>
          </w:pPr>
          <w:hyperlink w:anchor="_Toc58574639" w:history="1">
            <w:r w:rsidRPr="00E65C24">
              <w:rPr>
                <w:rStyle w:val="Hyperlink"/>
                <w:noProof/>
              </w:rPr>
              <w:t>3.1</w:t>
            </w:r>
            <w:r>
              <w:rPr>
                <w:noProof/>
                <w:lang w:eastAsia="tr-TR"/>
              </w:rPr>
              <w:tab/>
            </w:r>
            <w:r w:rsidRPr="00E65C24">
              <w:rPr>
                <w:rStyle w:val="Hyperlink"/>
                <w:noProof/>
              </w:rPr>
              <w:t>Tanımlar</w:t>
            </w:r>
            <w:r>
              <w:rPr>
                <w:noProof/>
                <w:webHidden/>
              </w:rPr>
              <w:tab/>
            </w:r>
            <w:r>
              <w:rPr>
                <w:noProof/>
                <w:webHidden/>
              </w:rPr>
              <w:fldChar w:fldCharType="begin"/>
            </w:r>
            <w:r>
              <w:rPr>
                <w:noProof/>
                <w:webHidden/>
              </w:rPr>
              <w:instrText xml:space="preserve"> PAGEREF _Toc58574639 \h </w:instrText>
            </w:r>
            <w:r>
              <w:rPr>
                <w:noProof/>
                <w:webHidden/>
              </w:rPr>
              <w:fldChar w:fldCharType="separate"/>
            </w:r>
            <w:r>
              <w:rPr>
                <w:noProof/>
                <w:webHidden/>
              </w:rPr>
              <w:t>3</w:t>
            </w:r>
            <w:r>
              <w:rPr>
                <w:noProof/>
                <w:webHidden/>
              </w:rPr>
              <w:fldChar w:fldCharType="end"/>
            </w:r>
          </w:hyperlink>
        </w:p>
        <w:p w:rsidR="002F7E04">
          <w:pPr>
            <w:pStyle w:val="TOC2"/>
            <w:tabs>
              <w:tab w:val="left" w:pos="880"/>
              <w:tab w:val="right" w:leader="dot" w:pos="9060"/>
            </w:tabs>
            <w:rPr>
              <w:noProof/>
              <w:lang w:eastAsia="tr-TR"/>
            </w:rPr>
          </w:pPr>
          <w:hyperlink w:anchor="_Toc58574640" w:history="1">
            <w:r w:rsidRPr="00E65C24">
              <w:rPr>
                <w:rStyle w:val="Hyperlink"/>
                <w:noProof/>
              </w:rPr>
              <w:t>3.2</w:t>
            </w:r>
            <w:r>
              <w:rPr>
                <w:noProof/>
                <w:lang w:eastAsia="tr-TR"/>
              </w:rPr>
              <w:tab/>
            </w:r>
            <w:r w:rsidRPr="00E65C24">
              <w:rPr>
                <w:rStyle w:val="Hyperlink"/>
                <w:noProof/>
              </w:rPr>
              <w:t>Kısaltmalar</w:t>
            </w:r>
            <w:r>
              <w:rPr>
                <w:noProof/>
                <w:webHidden/>
              </w:rPr>
              <w:tab/>
            </w:r>
            <w:r>
              <w:rPr>
                <w:noProof/>
                <w:webHidden/>
              </w:rPr>
              <w:fldChar w:fldCharType="begin"/>
            </w:r>
            <w:r>
              <w:rPr>
                <w:noProof/>
                <w:webHidden/>
              </w:rPr>
              <w:instrText xml:space="preserve"> PAGEREF _Toc58574640 \h </w:instrText>
            </w:r>
            <w:r>
              <w:rPr>
                <w:noProof/>
                <w:webHidden/>
              </w:rPr>
              <w:fldChar w:fldCharType="separate"/>
            </w:r>
            <w:r>
              <w:rPr>
                <w:noProof/>
                <w:webHidden/>
              </w:rPr>
              <w:t>3</w:t>
            </w:r>
            <w:r>
              <w:rPr>
                <w:noProof/>
                <w:webHidden/>
              </w:rPr>
              <w:fldChar w:fldCharType="end"/>
            </w:r>
          </w:hyperlink>
        </w:p>
        <w:p w:rsidR="002F7E04">
          <w:pPr>
            <w:pStyle w:val="TOC1"/>
            <w:tabs>
              <w:tab w:val="left" w:pos="440"/>
              <w:tab w:val="right" w:leader="dot" w:pos="9060"/>
            </w:tabs>
            <w:rPr>
              <w:noProof/>
              <w:lang w:eastAsia="tr-TR"/>
            </w:rPr>
          </w:pPr>
          <w:hyperlink w:anchor="_Toc58574641" w:history="1">
            <w:r w:rsidRPr="00E65C24">
              <w:rPr>
                <w:rStyle w:val="Hyperlink"/>
                <w:noProof/>
              </w:rPr>
              <w:t>4</w:t>
            </w:r>
            <w:r>
              <w:rPr>
                <w:noProof/>
                <w:lang w:eastAsia="tr-TR"/>
              </w:rPr>
              <w:tab/>
            </w:r>
            <w:r w:rsidRPr="00E65C24">
              <w:rPr>
                <w:rStyle w:val="Hyperlink"/>
                <w:noProof/>
              </w:rPr>
              <w:t>İLGİLİ STANDARTLAR</w:t>
            </w:r>
            <w:r>
              <w:rPr>
                <w:noProof/>
                <w:webHidden/>
              </w:rPr>
              <w:tab/>
            </w:r>
            <w:r>
              <w:rPr>
                <w:noProof/>
                <w:webHidden/>
              </w:rPr>
              <w:fldChar w:fldCharType="begin"/>
            </w:r>
            <w:r>
              <w:rPr>
                <w:noProof/>
                <w:webHidden/>
              </w:rPr>
              <w:instrText xml:space="preserve"> PAGEREF _Toc58574641 \h </w:instrText>
            </w:r>
            <w:r>
              <w:rPr>
                <w:noProof/>
                <w:webHidden/>
              </w:rPr>
              <w:fldChar w:fldCharType="separate"/>
            </w:r>
            <w:r>
              <w:rPr>
                <w:noProof/>
                <w:webHidden/>
              </w:rPr>
              <w:t>4</w:t>
            </w:r>
            <w:r>
              <w:rPr>
                <w:noProof/>
                <w:webHidden/>
              </w:rPr>
              <w:fldChar w:fldCharType="end"/>
            </w:r>
          </w:hyperlink>
        </w:p>
        <w:p w:rsidR="002F7E04">
          <w:pPr>
            <w:pStyle w:val="TOC1"/>
            <w:tabs>
              <w:tab w:val="left" w:pos="440"/>
              <w:tab w:val="right" w:leader="dot" w:pos="9060"/>
            </w:tabs>
            <w:rPr>
              <w:noProof/>
              <w:lang w:eastAsia="tr-TR"/>
            </w:rPr>
          </w:pPr>
          <w:hyperlink w:anchor="_Toc58574642" w:history="1">
            <w:r w:rsidRPr="00E65C24">
              <w:rPr>
                <w:rStyle w:val="Hyperlink"/>
                <w:noProof/>
              </w:rPr>
              <w:t>5</w:t>
            </w:r>
            <w:r>
              <w:rPr>
                <w:noProof/>
                <w:lang w:eastAsia="tr-TR"/>
              </w:rPr>
              <w:tab/>
            </w:r>
            <w:r w:rsidRPr="00E65C24">
              <w:rPr>
                <w:rStyle w:val="Hyperlink"/>
                <w:noProof/>
              </w:rPr>
              <w:t>TEKNİK ÖZELLİKLER</w:t>
            </w:r>
            <w:r>
              <w:rPr>
                <w:noProof/>
                <w:webHidden/>
              </w:rPr>
              <w:tab/>
            </w:r>
            <w:r>
              <w:rPr>
                <w:noProof/>
                <w:webHidden/>
              </w:rPr>
              <w:fldChar w:fldCharType="begin"/>
            </w:r>
            <w:r>
              <w:rPr>
                <w:noProof/>
                <w:webHidden/>
              </w:rPr>
              <w:instrText xml:space="preserve"> PAGEREF _Toc58574642 \h </w:instrText>
            </w:r>
            <w:r>
              <w:rPr>
                <w:noProof/>
                <w:webHidden/>
              </w:rPr>
              <w:fldChar w:fldCharType="separate"/>
            </w:r>
            <w:r>
              <w:rPr>
                <w:noProof/>
                <w:webHidden/>
              </w:rPr>
              <w:t>4</w:t>
            </w:r>
            <w:r>
              <w:rPr>
                <w:noProof/>
                <w:webHidden/>
              </w:rPr>
              <w:fldChar w:fldCharType="end"/>
            </w:r>
          </w:hyperlink>
        </w:p>
        <w:p w:rsidR="002F7E04">
          <w:pPr>
            <w:pStyle w:val="TOC1"/>
            <w:tabs>
              <w:tab w:val="left" w:pos="440"/>
              <w:tab w:val="right" w:leader="dot" w:pos="9060"/>
            </w:tabs>
            <w:rPr>
              <w:noProof/>
              <w:lang w:eastAsia="tr-TR"/>
            </w:rPr>
          </w:pPr>
          <w:hyperlink w:anchor="_Toc58574650" w:history="1">
            <w:r w:rsidRPr="00E65C24">
              <w:rPr>
                <w:rStyle w:val="Hyperlink"/>
                <w:noProof/>
              </w:rPr>
              <w:t>6</w:t>
            </w:r>
            <w:r>
              <w:rPr>
                <w:noProof/>
                <w:lang w:eastAsia="tr-TR"/>
              </w:rPr>
              <w:tab/>
            </w:r>
            <w:r w:rsidRPr="00E65C24">
              <w:rPr>
                <w:rStyle w:val="Hyperlink"/>
                <w:noProof/>
              </w:rPr>
              <w:t>GARANTİ VE BAKIM ŞARTLARI</w:t>
            </w:r>
            <w:r>
              <w:rPr>
                <w:noProof/>
                <w:webHidden/>
              </w:rPr>
              <w:tab/>
            </w:r>
            <w:r>
              <w:rPr>
                <w:noProof/>
                <w:webHidden/>
              </w:rPr>
              <w:fldChar w:fldCharType="begin"/>
            </w:r>
            <w:r>
              <w:rPr>
                <w:noProof/>
                <w:webHidden/>
              </w:rPr>
              <w:instrText xml:space="preserve"> PAGEREF _Toc58574650 \h </w:instrText>
            </w:r>
            <w:r>
              <w:rPr>
                <w:noProof/>
                <w:webHidden/>
              </w:rPr>
              <w:fldChar w:fldCharType="separate"/>
            </w:r>
            <w:r>
              <w:rPr>
                <w:noProof/>
                <w:webHidden/>
              </w:rPr>
              <w:t>5</w:t>
            </w:r>
            <w:r>
              <w:rPr>
                <w:noProof/>
                <w:webHidden/>
              </w:rPr>
              <w:fldChar w:fldCharType="end"/>
            </w:r>
          </w:hyperlink>
        </w:p>
        <w:p w:rsidR="0018149E" w:rsidP="00766AB9">
          <w:pPr>
            <w:spacing w:after="0" w:line="360" w:lineRule="auto"/>
            <w:jc w:val="both"/>
            <w:rPr>
              <w:noProof/>
            </w:rPr>
          </w:pPr>
          <w:r>
            <w:rPr>
              <w:b/>
              <w:bCs/>
              <w:noProof/>
            </w:rPr>
            <w:fldChar w:fldCharType="end"/>
          </w:r>
        </w:p>
      </w:sdtContent>
    </w:sdt>
    <w:p w:rsidR="00B44E9B"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Default"/>
        <w:spacing w:line="360" w:lineRule="auto"/>
      </w:pPr>
    </w:p>
    <w:p w:rsidR="0018149E" w:rsidP="00766AB9">
      <w:pPr>
        <w:pStyle w:val="Heading1"/>
        <w:spacing w:before="0" w:after="0" w:line="360" w:lineRule="auto"/>
      </w:pPr>
      <w:bookmarkStart w:id="1" w:name="_Toc497292033"/>
      <w:bookmarkStart w:id="2" w:name="_Toc58574637"/>
      <w:r w:rsidRPr="0018149E">
        <w:t>KONU</w:t>
      </w:r>
      <w:bookmarkEnd w:id="1"/>
      <w:bookmarkEnd w:id="2"/>
    </w:p>
    <w:p w:rsidR="00B8374E" w:rsidRPr="00B8374E" w:rsidP="00766AB9">
      <w:pPr>
        <w:pStyle w:val="paragraf"/>
        <w:spacing w:after="0" w:line="360" w:lineRule="auto"/>
        <w:ind w:left="0"/>
        <w:rPr>
          <w:rFonts w:asciiTheme="minorHAnsi" w:hAnsiTheme="minorHAnsi" w:cs="Arial"/>
          <w:i w:val="0"/>
          <w:sz w:val="20"/>
        </w:rPr>
      </w:pPr>
    </w:p>
    <w:p w:rsidR="00B8374E" w:rsidP="00766AB9">
      <w:pPr>
        <w:pStyle w:val="paragraf"/>
        <w:spacing w:after="0" w:line="360" w:lineRule="auto"/>
        <w:ind w:left="0"/>
        <w:rPr>
          <w:rFonts w:asciiTheme="minorHAnsi" w:hAnsiTheme="minorHAnsi" w:cs="Arial"/>
          <w:i w:val="0"/>
          <w:sz w:val="20"/>
        </w:rPr>
      </w:pPr>
      <w:r w:rsidRPr="00B8374E">
        <w:rPr>
          <w:rFonts w:asciiTheme="minorHAnsi" w:hAnsiTheme="minorHAnsi" w:cs="Arial"/>
          <w:i w:val="0"/>
          <w:sz w:val="20"/>
        </w:rPr>
        <w:t>Bu teknik şartname, Uludağ Elektrik Dağıtım A.Ş.’nin ihtiyacı için yurt içinden / yurt dışından satın alınacak / imal edilecek “NEM ALMA CİHAZI” nın teknik özellikleri, numune alma, kontrol ve muayene metodları ile diğer hususları kapsar.</w:t>
      </w:r>
    </w:p>
    <w:p w:rsidR="000F335C" w:rsidRPr="00B8374E" w:rsidP="00766AB9">
      <w:pPr>
        <w:pStyle w:val="paragraf"/>
        <w:spacing w:after="0" w:line="360" w:lineRule="auto"/>
        <w:ind w:left="0"/>
        <w:rPr>
          <w:rFonts w:asciiTheme="minorHAnsi" w:hAnsiTheme="minorHAnsi" w:cs="Arial"/>
          <w:i w:val="0"/>
          <w:sz w:val="20"/>
        </w:rPr>
      </w:pPr>
    </w:p>
    <w:p w:rsidR="0018149E" w:rsidP="00766AB9">
      <w:pPr>
        <w:pStyle w:val="Heading1"/>
        <w:spacing w:before="0" w:after="0" w:line="360" w:lineRule="auto"/>
      </w:pPr>
      <w:bookmarkStart w:id="3" w:name="_Toc497292034"/>
      <w:bookmarkStart w:id="4" w:name="_Toc58574638"/>
      <w:r w:rsidRPr="0018149E">
        <w:t>TANIMLAR ve KISALTMALAR</w:t>
      </w:r>
      <w:bookmarkEnd w:id="3"/>
      <w:bookmarkEnd w:id="4"/>
    </w:p>
    <w:p w:rsidR="00706732" w:rsidP="00766AB9">
      <w:pPr>
        <w:pStyle w:val="Heading2"/>
        <w:spacing w:before="0" w:line="360" w:lineRule="auto"/>
      </w:pPr>
      <w:bookmarkStart w:id="5" w:name="_Toc58574639"/>
      <w:r w:rsidRPr="00D13D01">
        <w:t>Tanımlar</w:t>
      </w:r>
      <w:bookmarkEnd w:id="5"/>
    </w:p>
    <w:p w:rsidR="00294958" w:rsidRPr="00EC5E85" w:rsidP="00294958">
      <w:pPr>
        <w:rPr>
          <w:sz w:val="20"/>
          <w:szCs w:val="20"/>
        </w:rPr>
      </w:pPr>
      <w:r w:rsidRPr="00EC5E85">
        <w:rPr>
          <w:sz w:val="20"/>
          <w:szCs w:val="20"/>
        </w:rPr>
        <w:t xml:space="preserve">Nem alım cihazı, ortamın nem miktarını kontrol altında tutan ve dengeleyen cihaz. </w:t>
      </w:r>
    </w:p>
    <w:p w:rsidR="00706732" w:rsidP="00766AB9">
      <w:pPr>
        <w:pStyle w:val="Heading2"/>
        <w:spacing w:before="0" w:line="360" w:lineRule="auto"/>
      </w:pPr>
      <w:bookmarkStart w:id="6" w:name="_Toc58574640"/>
      <w:r w:rsidRPr="00D13D01">
        <w:t>Kısaltmalar</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8"/>
        <w:gridCol w:w="6229"/>
      </w:tblGrid>
      <w:tr w:rsidTr="000F335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UEDAŞ</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Uludağ Elektrik Dağıtım Anonim Şirketi</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İSTEKLİ</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Bu teknik Şartnameye konu işe teklif veren gerçek veya tüzel kişiyi ifade eder.</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TEDAŞ</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Türkiye Elektrik Dağıtım A.Ş.</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IEC</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International Electrotechnical Commission (Uluslararası Elektroteknik Komisyonu )</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TSE, TS-EN</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Türk Standartları</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I</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Akım</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V</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Gerilim</w:t>
            </w:r>
          </w:p>
        </w:tc>
      </w:tr>
      <w:tr w:rsidTr="000F335C">
        <w:tblPrEx>
          <w:tblW w:w="0" w:type="auto"/>
          <w:jc w:val="center"/>
          <w:tblLook w:val="0000"/>
        </w:tblPrEx>
        <w:trPr>
          <w:trHeight w:val="340"/>
          <w:jc w:val="center"/>
        </w:trPr>
        <w:tc>
          <w:tcPr>
            <w:tcW w:w="2098" w:type="dxa"/>
            <w:vAlign w:val="center"/>
          </w:tcPr>
          <w:p w:rsidR="00706732" w:rsidRPr="00766AB9" w:rsidP="000F335C">
            <w:pPr>
              <w:keepNext/>
              <w:keepLines/>
              <w:spacing w:after="0" w:line="360" w:lineRule="auto"/>
              <w:jc w:val="center"/>
              <w:rPr>
                <w:rFonts w:cs="Arial"/>
                <w:b/>
                <w:sz w:val="18"/>
                <w:szCs w:val="20"/>
              </w:rPr>
            </w:pPr>
            <w:r w:rsidRPr="00766AB9">
              <w:rPr>
                <w:rFonts w:cs="Arial"/>
                <w:b/>
                <w:sz w:val="18"/>
                <w:szCs w:val="20"/>
              </w:rPr>
              <w:t>W, kWh</w:t>
            </w:r>
          </w:p>
        </w:tc>
        <w:tc>
          <w:tcPr>
            <w:tcW w:w="6229" w:type="dxa"/>
            <w:vAlign w:val="center"/>
          </w:tcPr>
          <w:p w:rsidR="00706732" w:rsidRPr="00766AB9" w:rsidP="000F335C">
            <w:pPr>
              <w:keepNext/>
              <w:keepLines/>
              <w:spacing w:after="0" w:line="360" w:lineRule="auto"/>
              <w:jc w:val="center"/>
              <w:rPr>
                <w:rFonts w:cs="Arial"/>
                <w:sz w:val="18"/>
                <w:szCs w:val="20"/>
              </w:rPr>
            </w:pPr>
            <w:r w:rsidRPr="00766AB9">
              <w:rPr>
                <w:rFonts w:cs="Arial"/>
                <w:sz w:val="18"/>
                <w:szCs w:val="20"/>
              </w:rPr>
              <w:t>Watt, Kilo Watt / saat</w:t>
            </w:r>
          </w:p>
        </w:tc>
      </w:tr>
    </w:tbl>
    <w:p w:rsidR="00706732" w:rsidP="00766AB9">
      <w:pPr>
        <w:spacing w:after="0" w:line="360" w:lineRule="auto"/>
      </w:pPr>
    </w:p>
    <w:p w:rsidR="000F335C" w:rsidP="00766AB9">
      <w:pPr>
        <w:spacing w:after="0" w:line="360" w:lineRule="auto"/>
      </w:pPr>
    </w:p>
    <w:p w:rsidR="000F335C" w:rsidP="00766AB9">
      <w:pPr>
        <w:spacing w:after="0" w:line="360" w:lineRule="auto"/>
      </w:pPr>
    </w:p>
    <w:p w:rsidR="000F335C" w:rsidP="00766AB9">
      <w:pPr>
        <w:spacing w:after="0" w:line="360" w:lineRule="auto"/>
      </w:pPr>
    </w:p>
    <w:p w:rsidR="000F335C" w:rsidP="00766AB9">
      <w:pPr>
        <w:spacing w:after="0" w:line="360" w:lineRule="auto"/>
      </w:pPr>
    </w:p>
    <w:p w:rsidR="000F335C" w:rsidP="00766AB9">
      <w:pPr>
        <w:spacing w:after="0" w:line="360" w:lineRule="auto"/>
      </w:pPr>
    </w:p>
    <w:p w:rsidR="00A343BF" w:rsidP="00766AB9">
      <w:pPr>
        <w:spacing w:after="0" w:line="360" w:lineRule="auto"/>
      </w:pPr>
    </w:p>
    <w:p w:rsidR="00A343BF" w:rsidP="00766AB9">
      <w:pPr>
        <w:spacing w:after="0" w:line="360" w:lineRule="auto"/>
      </w:pPr>
    </w:p>
    <w:p w:rsidR="00A343BF" w:rsidP="00766AB9">
      <w:pPr>
        <w:spacing w:after="0" w:line="360" w:lineRule="auto"/>
      </w:pPr>
    </w:p>
    <w:p w:rsidR="0018149E" w:rsidP="00766AB9">
      <w:pPr>
        <w:pStyle w:val="Heading1"/>
        <w:spacing w:before="0" w:after="0" w:line="360" w:lineRule="auto"/>
      </w:pPr>
      <w:bookmarkStart w:id="7" w:name="_Toc375215077"/>
      <w:bookmarkStart w:id="8" w:name="_Toc497292036"/>
      <w:bookmarkStart w:id="9" w:name="_Toc375146338"/>
      <w:bookmarkStart w:id="10" w:name="_Toc375146503"/>
      <w:bookmarkStart w:id="11" w:name="_Toc58574641"/>
      <w:r w:rsidRPr="0018149E">
        <w:t>İLGİLİ STANDARTLAR</w:t>
      </w:r>
      <w:bookmarkEnd w:id="7"/>
      <w:bookmarkEnd w:id="8"/>
      <w:bookmarkEnd w:id="11"/>
      <w:r w:rsidRPr="0018149E">
        <w:t xml:space="preserve"> </w:t>
      </w:r>
      <w:bookmarkEnd w:id="9"/>
      <w:bookmarkEnd w:id="10"/>
    </w:p>
    <w:p w:rsidR="001C5DD1" w:rsidP="00766AB9">
      <w:pPr>
        <w:pStyle w:val="Stylebullet10ptItalic"/>
        <w:spacing w:before="0" w:after="0"/>
      </w:pPr>
      <w:r w:rsidRPr="00A34977">
        <w:t xml:space="preserve">Nem Alma Cİhazı, ilgili IEC Standartlarına veya karşılığı olan Türk standartlarına uygun olacaktır. Standartların tadil veya revize edilmesi halinde en son revizyonu, standardın yürürlükten kaldırılması halinde ise yeni standart geçerli olacaktır. </w:t>
      </w:r>
    </w:p>
    <w:tbl>
      <w:tblPr>
        <w:tblpPr w:leftFromText="141" w:rightFromText="141" w:vertAnchor="text" w:horzAnchor="margin" w:tblpXSpec="center" w:tblpY="379"/>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4"/>
        <w:gridCol w:w="6614"/>
      </w:tblGrid>
      <w:tr w:rsidTr="000F335C">
        <w:tblPrEx>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39"/>
        </w:trPr>
        <w:tc>
          <w:tcPr>
            <w:tcW w:w="2434" w:type="dxa"/>
            <w:vAlign w:val="center"/>
          </w:tcPr>
          <w:p w:rsidR="009B459C" w:rsidRPr="000F335C" w:rsidP="000F335C">
            <w:pPr>
              <w:keepNext/>
              <w:keepLines/>
              <w:spacing w:after="0" w:line="360" w:lineRule="auto"/>
              <w:jc w:val="center"/>
              <w:rPr>
                <w:rFonts w:cs="Arial"/>
                <w:b/>
                <w:sz w:val="18"/>
                <w:szCs w:val="18"/>
              </w:rPr>
            </w:pPr>
            <w:r w:rsidRPr="000F335C">
              <w:rPr>
                <w:rFonts w:cs="Arial"/>
                <w:b/>
                <w:sz w:val="18"/>
                <w:szCs w:val="18"/>
              </w:rPr>
              <w:t>STANDART</w:t>
            </w:r>
          </w:p>
        </w:tc>
        <w:tc>
          <w:tcPr>
            <w:tcW w:w="6614" w:type="dxa"/>
            <w:vAlign w:val="center"/>
          </w:tcPr>
          <w:p w:rsidR="009B459C" w:rsidRPr="000F335C" w:rsidP="000F335C">
            <w:pPr>
              <w:keepNext/>
              <w:keepLines/>
              <w:spacing w:after="0" w:line="360" w:lineRule="auto"/>
              <w:jc w:val="center"/>
              <w:rPr>
                <w:rFonts w:cs="Arial"/>
                <w:b/>
                <w:sz w:val="18"/>
                <w:szCs w:val="18"/>
              </w:rPr>
            </w:pPr>
            <w:r w:rsidRPr="000F335C">
              <w:rPr>
                <w:rFonts w:cs="Arial"/>
                <w:b/>
                <w:sz w:val="18"/>
                <w:szCs w:val="18"/>
              </w:rPr>
              <w:t>AÇIKLAMA</w:t>
            </w:r>
          </w:p>
        </w:tc>
      </w:tr>
      <w:tr w:rsidTr="000F335C">
        <w:tblPrEx>
          <w:tblW w:w="9048" w:type="dxa"/>
          <w:tblLook w:val="0000"/>
        </w:tblPrEx>
        <w:trPr>
          <w:trHeight w:hRule="exact" w:val="431"/>
        </w:trPr>
        <w:tc>
          <w:tcPr>
            <w:tcW w:w="2434" w:type="dxa"/>
            <w:shd w:val="clear" w:color="auto" w:fill="auto"/>
            <w:vAlign w:val="center"/>
          </w:tcPr>
          <w:p w:rsidR="009B459C" w:rsidRPr="000F335C" w:rsidP="000F335C">
            <w:pPr>
              <w:keepNext/>
              <w:keepLines/>
              <w:spacing w:after="0" w:line="240" w:lineRule="auto"/>
              <w:jc w:val="center"/>
              <w:rPr>
                <w:rFonts w:cs="Arial"/>
                <w:b/>
                <w:sz w:val="18"/>
                <w:szCs w:val="18"/>
              </w:rPr>
            </w:pPr>
            <w:r w:rsidRPr="000F335C">
              <w:rPr>
                <w:sz w:val="18"/>
                <w:szCs w:val="18"/>
              </w:rPr>
              <w:t>EN ISO 12100</w:t>
            </w:r>
          </w:p>
        </w:tc>
        <w:tc>
          <w:tcPr>
            <w:tcW w:w="6614" w:type="dxa"/>
            <w:shd w:val="clear" w:color="auto" w:fill="auto"/>
            <w:vAlign w:val="center"/>
          </w:tcPr>
          <w:p w:rsidR="009B459C" w:rsidRPr="000F335C" w:rsidP="000F335C">
            <w:pPr>
              <w:keepNext/>
              <w:keepLines/>
              <w:spacing w:after="0" w:line="240" w:lineRule="auto"/>
              <w:jc w:val="center"/>
              <w:rPr>
                <w:rFonts w:cs="Arial"/>
                <w:sz w:val="18"/>
                <w:szCs w:val="18"/>
              </w:rPr>
            </w:pPr>
            <w:r w:rsidRPr="000F335C">
              <w:rPr>
                <w:sz w:val="18"/>
                <w:szCs w:val="18"/>
              </w:rPr>
              <w:t>Makina Güvenliği</w:t>
            </w:r>
          </w:p>
        </w:tc>
      </w:tr>
      <w:tr w:rsidTr="000F335C">
        <w:tblPrEx>
          <w:tblW w:w="9048" w:type="dxa"/>
          <w:tblLook w:val="0000"/>
        </w:tblPrEx>
        <w:trPr>
          <w:trHeight w:hRule="exact" w:val="563"/>
        </w:trPr>
        <w:tc>
          <w:tcPr>
            <w:tcW w:w="2434" w:type="dxa"/>
            <w:shd w:val="clear" w:color="auto" w:fill="auto"/>
            <w:vAlign w:val="center"/>
          </w:tcPr>
          <w:p w:rsidR="009B459C" w:rsidRPr="000F335C" w:rsidP="000F335C">
            <w:pPr>
              <w:keepNext/>
              <w:keepLines/>
              <w:spacing w:after="0" w:line="240" w:lineRule="auto"/>
              <w:jc w:val="center"/>
              <w:rPr>
                <w:rFonts w:cs="Arial"/>
                <w:b/>
                <w:sz w:val="18"/>
                <w:szCs w:val="18"/>
              </w:rPr>
            </w:pPr>
            <w:r w:rsidRPr="000F335C">
              <w:rPr>
                <w:sz w:val="18"/>
                <w:szCs w:val="18"/>
              </w:rPr>
              <w:t>EN 50081-1/92</w:t>
            </w:r>
          </w:p>
        </w:tc>
        <w:tc>
          <w:tcPr>
            <w:tcW w:w="6614" w:type="dxa"/>
            <w:shd w:val="clear" w:color="auto" w:fill="FFFFFF"/>
            <w:vAlign w:val="center"/>
          </w:tcPr>
          <w:p w:rsidR="009B459C" w:rsidRPr="000F335C" w:rsidP="000F335C">
            <w:pPr>
              <w:keepNext/>
              <w:keepLines/>
              <w:spacing w:after="0" w:line="240" w:lineRule="auto"/>
              <w:jc w:val="center"/>
              <w:rPr>
                <w:rFonts w:cs="Arial"/>
                <w:sz w:val="18"/>
                <w:szCs w:val="18"/>
              </w:rPr>
            </w:pPr>
            <w:r w:rsidRPr="000F335C">
              <w:rPr>
                <w:sz w:val="18"/>
                <w:szCs w:val="18"/>
              </w:rPr>
              <w:t>Elektromanyetik Uyumluluk (EMC) Temel Özellik "Emitted Interference"</w:t>
            </w:r>
          </w:p>
        </w:tc>
      </w:tr>
      <w:tr w:rsidTr="000F335C">
        <w:tblPrEx>
          <w:tblW w:w="9048" w:type="dxa"/>
          <w:tblLook w:val="0000"/>
        </w:tblPrEx>
        <w:trPr>
          <w:trHeight w:hRule="exact" w:val="557"/>
        </w:trPr>
        <w:tc>
          <w:tcPr>
            <w:tcW w:w="2434" w:type="dxa"/>
            <w:shd w:val="clear" w:color="auto" w:fill="auto"/>
            <w:vAlign w:val="center"/>
          </w:tcPr>
          <w:p w:rsidR="009B459C" w:rsidRPr="000F335C" w:rsidP="000F335C">
            <w:pPr>
              <w:keepNext/>
              <w:keepLines/>
              <w:spacing w:after="0" w:line="240" w:lineRule="auto"/>
              <w:jc w:val="center"/>
              <w:rPr>
                <w:rFonts w:cs="Arial"/>
                <w:b/>
                <w:sz w:val="18"/>
                <w:szCs w:val="18"/>
              </w:rPr>
            </w:pPr>
            <w:r w:rsidRPr="000F335C">
              <w:rPr>
                <w:sz w:val="18"/>
                <w:szCs w:val="18"/>
              </w:rPr>
              <w:t>EN 50082-1/97</w:t>
            </w:r>
          </w:p>
        </w:tc>
        <w:tc>
          <w:tcPr>
            <w:tcW w:w="6614" w:type="dxa"/>
            <w:shd w:val="clear" w:color="auto" w:fill="auto"/>
            <w:vAlign w:val="center"/>
          </w:tcPr>
          <w:p w:rsidR="009B459C" w:rsidRPr="000F335C" w:rsidP="000F335C">
            <w:pPr>
              <w:keepNext/>
              <w:keepLines/>
              <w:spacing w:after="0" w:line="240" w:lineRule="auto"/>
              <w:jc w:val="center"/>
              <w:rPr>
                <w:rFonts w:cs="Arial"/>
                <w:sz w:val="18"/>
                <w:szCs w:val="18"/>
              </w:rPr>
            </w:pPr>
            <w:r w:rsidRPr="000F335C">
              <w:rPr>
                <w:sz w:val="18"/>
                <w:szCs w:val="18"/>
              </w:rPr>
              <w:t>Electromagnetic Compatibility (EMC) Basic Specification "Püskürtme Müdahalesi"</w:t>
            </w:r>
          </w:p>
        </w:tc>
      </w:tr>
      <w:tr w:rsidTr="000F335C">
        <w:tblPrEx>
          <w:tblW w:w="9048" w:type="dxa"/>
          <w:tblLook w:val="0000"/>
        </w:tblPrEx>
        <w:trPr>
          <w:trHeight w:hRule="exact" w:val="407"/>
        </w:trPr>
        <w:tc>
          <w:tcPr>
            <w:tcW w:w="2434" w:type="dxa"/>
            <w:shd w:val="clear" w:color="auto" w:fill="auto"/>
            <w:vAlign w:val="center"/>
          </w:tcPr>
          <w:p w:rsidR="009B459C" w:rsidRPr="000F335C" w:rsidP="000F335C">
            <w:pPr>
              <w:keepNext/>
              <w:keepLines/>
              <w:spacing w:after="0" w:line="240" w:lineRule="auto"/>
              <w:jc w:val="center"/>
              <w:rPr>
                <w:rFonts w:cs="Arial"/>
                <w:b/>
                <w:sz w:val="18"/>
                <w:szCs w:val="18"/>
              </w:rPr>
            </w:pPr>
            <w:r w:rsidRPr="000F335C">
              <w:rPr>
                <w:sz w:val="18"/>
                <w:szCs w:val="18"/>
              </w:rPr>
              <w:t>EN 60335-2-40/98</w:t>
            </w:r>
          </w:p>
        </w:tc>
        <w:tc>
          <w:tcPr>
            <w:tcW w:w="6614" w:type="dxa"/>
            <w:shd w:val="clear" w:color="auto" w:fill="auto"/>
            <w:vAlign w:val="center"/>
          </w:tcPr>
          <w:p w:rsidR="009B459C" w:rsidRPr="000F335C" w:rsidP="000F335C">
            <w:pPr>
              <w:keepNext/>
              <w:keepLines/>
              <w:spacing w:after="0" w:line="240" w:lineRule="auto"/>
              <w:jc w:val="center"/>
              <w:rPr>
                <w:rFonts w:cs="Arial"/>
                <w:sz w:val="18"/>
                <w:szCs w:val="18"/>
              </w:rPr>
            </w:pPr>
            <w:r w:rsidRPr="000F335C">
              <w:rPr>
                <w:sz w:val="18"/>
                <w:szCs w:val="18"/>
              </w:rPr>
              <w:t>Evde ve benzeri amaçlar için kullanılacak Elektrikli cihaz güvenliği</w:t>
            </w:r>
          </w:p>
        </w:tc>
      </w:tr>
    </w:tbl>
    <w:p w:rsidR="000F335C" w:rsidP="000F335C">
      <w:bookmarkStart w:id="12" w:name="_Toc375215078"/>
      <w:bookmarkStart w:id="13" w:name="_Toc497292037"/>
      <w:bookmarkStart w:id="14" w:name="_Toc375146339"/>
      <w:bookmarkStart w:id="15" w:name="_Toc375146504"/>
    </w:p>
    <w:p w:rsidR="00586366" w:rsidP="00723DAC">
      <w:pPr>
        <w:pStyle w:val="Heading1"/>
        <w:spacing w:before="0" w:after="0" w:line="360" w:lineRule="auto"/>
      </w:pPr>
      <w:bookmarkStart w:id="16" w:name="_Toc58574642"/>
      <w:r w:rsidRPr="0018149E">
        <w:t>TEKNİK ÖZELLİKLER</w:t>
      </w:r>
      <w:bookmarkEnd w:id="12"/>
      <w:bookmarkEnd w:id="13"/>
      <w:bookmarkEnd w:id="16"/>
      <w:r w:rsidRPr="0018149E">
        <w:t xml:space="preserve"> </w:t>
      </w:r>
      <w:bookmarkEnd w:id="14"/>
      <w:bookmarkEnd w:id="15"/>
    </w:p>
    <w:p w:rsidR="00723DAC" w:rsidRPr="00586366" w:rsidP="00723DAC">
      <w:pPr>
        <w:rPr>
          <w:color w:val="FF0000"/>
          <w:sz w:val="20"/>
          <w:szCs w:val="20"/>
        </w:rPr>
      </w:pPr>
      <w:r w:rsidRPr="00586366">
        <w:rPr>
          <w:sz w:val="20"/>
          <w:szCs w:val="20"/>
        </w:rPr>
        <w:t>-Elektrik kesilip geldiğinde nem alma cihazının dışarıdan resetlemeye gerek kalmadan çalışmaya devam etmelidir.</w:t>
      </w:r>
    </w:p>
    <w:tbl>
      <w:tblPr>
        <w:tblW w:w="9220" w:type="dxa"/>
        <w:jc w:val="center"/>
        <w:shd w:val="clear" w:color="auto" w:fill="FFFFFF"/>
        <w:tblCellMar>
          <w:left w:w="0" w:type="dxa"/>
          <w:right w:w="0" w:type="dxa"/>
        </w:tblCellMar>
        <w:tblLook w:val="04A0"/>
      </w:tblPr>
      <w:tblGrid>
        <w:gridCol w:w="6280"/>
        <w:gridCol w:w="1140"/>
        <w:gridCol w:w="1800"/>
      </w:tblGrid>
      <w:tr w:rsidTr="000F335C">
        <w:tblPrEx>
          <w:tblW w:w="9220" w:type="dxa"/>
          <w:jc w:val="center"/>
          <w:shd w:val="clear" w:color="auto" w:fill="FFFFFF"/>
          <w:tblCellMar>
            <w:left w:w="0" w:type="dxa"/>
            <w:right w:w="0" w:type="dxa"/>
          </w:tblCellMar>
          <w:tblLook w:val="04A0"/>
        </w:tblPrEx>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Nem Alma Kapasitesi (30ºC - %80 Bağıl Nem):</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lt/gün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10&lt;=X&lt;=12</w:t>
            </w:r>
          </w:p>
        </w:tc>
      </w:tr>
      <w:tr w:rsidTr="00586366">
        <w:tblPrEx>
          <w:tblW w:w="9220" w:type="dxa"/>
          <w:jc w:val="center"/>
          <w:shd w:val="clear" w:color="auto" w:fill="FFFFFF"/>
          <w:tblCellMar>
            <w:left w:w="0" w:type="dxa"/>
            <w:right w:w="0" w:type="dxa"/>
          </w:tblCellMar>
          <w:tblLook w:val="04A0"/>
        </w:tblPrEx>
        <w:trPr>
          <w:trHeight w:val="26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Güç Kaynağı:</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V/Ph/Hz</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220 - 240 / 1 / 50</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Hava Debisi:</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m3/h</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100&lt;=X&lt;=120</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Çalışma Sıcaklık Aralığı:</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ºC</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5 - 35</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Çalışma Bağıl Nem Aralığı:</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35 - 90</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Ses Seviyesi (Serbest Alanda 1 metrede):</w:t>
            </w:r>
          </w:p>
        </w:tc>
        <w:tc>
          <w:tcPr>
            <w:tcW w:w="1140" w:type="dxa"/>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dB(A)</w:t>
            </w:r>
          </w:p>
        </w:tc>
        <w:tc>
          <w:tcPr>
            <w:tcW w:w="1800" w:type="dxa"/>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X&lt;=45</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Yoğunlaşma Suyu Tank Kapasitesi:</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lt</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4</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rPr>
                <w:rFonts w:cs="Arial"/>
                <w:b/>
                <w:sz w:val="18"/>
                <w:szCs w:val="18"/>
              </w:rPr>
            </w:pPr>
            <w:r w:rsidRPr="000F335C">
              <w:rPr>
                <w:rFonts w:cs="Arial"/>
                <w:b/>
                <w:sz w:val="18"/>
                <w:szCs w:val="18"/>
              </w:rPr>
              <w:t>Etki Alanı:</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m2</w:t>
            </w:r>
          </w:p>
        </w:tc>
        <w:tc>
          <w:tcPr>
            <w:tcW w:w="0" w:type="auto"/>
            <w:tcBorders>
              <w:top w:val="nil"/>
              <w:left w:val="nil"/>
              <w:bottom w:val="single" w:sz="4" w:space="0" w:color="auto"/>
              <w:right w:val="single" w:sz="4" w:space="0" w:color="auto"/>
            </w:tcBorders>
            <w:shd w:val="clear" w:color="auto" w:fill="auto"/>
            <w:vAlign w:val="center"/>
            <w:hideMark/>
          </w:tcPr>
          <w:p w:rsidR="00050008" w:rsidRPr="000F335C" w:rsidP="000F335C">
            <w:pPr>
              <w:keepNext/>
              <w:keepLines/>
              <w:spacing w:after="0" w:line="360" w:lineRule="auto"/>
              <w:jc w:val="center"/>
              <w:rPr>
                <w:rFonts w:cs="Arial"/>
                <w:b/>
                <w:sz w:val="18"/>
                <w:szCs w:val="18"/>
              </w:rPr>
            </w:pPr>
            <w:r w:rsidRPr="000F335C">
              <w:rPr>
                <w:rFonts w:cs="Arial"/>
                <w:b/>
                <w:sz w:val="18"/>
                <w:szCs w:val="18"/>
              </w:rPr>
              <w:t>15&lt;X</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50008" w:rsidRPr="000F335C" w:rsidP="000F335C">
            <w:pPr>
              <w:shd w:val="clear" w:color="auto" w:fill="FFFFFF"/>
              <w:spacing w:after="0" w:line="240" w:lineRule="auto"/>
              <w:textAlignment w:val="baseline"/>
              <w:rPr>
                <w:rFonts w:cs="Arial"/>
                <w:b/>
                <w:sz w:val="18"/>
                <w:szCs w:val="18"/>
              </w:rPr>
            </w:pPr>
            <w:r w:rsidRPr="000F335C">
              <w:rPr>
                <w:rFonts w:cs="Arial"/>
                <w:b/>
                <w:sz w:val="18"/>
                <w:szCs w:val="18"/>
              </w:rPr>
              <w:t>Otomatik çalışma</w:t>
            </w:r>
          </w:p>
        </w:tc>
        <w:tc>
          <w:tcPr>
            <w:tcW w:w="0" w:type="auto"/>
            <w:tcBorders>
              <w:top w:val="nil"/>
              <w:left w:val="nil"/>
              <w:bottom w:val="single" w:sz="4" w:space="0" w:color="auto"/>
              <w:right w:val="single" w:sz="4" w:space="0" w:color="auto"/>
            </w:tcBorders>
            <w:shd w:val="clear" w:color="auto" w:fill="auto"/>
            <w:vAlign w:val="center"/>
          </w:tcPr>
          <w:p w:rsidR="00050008"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050008" w:rsidRPr="000F335C" w:rsidP="000F335C">
            <w:pPr>
              <w:keepNext/>
              <w:keepLines/>
              <w:spacing w:after="0" w:line="240" w:lineRule="auto"/>
              <w:jc w:val="center"/>
              <w:rPr>
                <w:rFonts w:cs="Arial"/>
                <w:b/>
                <w:sz w:val="18"/>
                <w:szCs w:val="18"/>
              </w:rPr>
            </w:pPr>
            <w:r w:rsidRPr="000F335C">
              <w:rPr>
                <w:rFonts w:cs="Arial"/>
                <w:b/>
                <w:sz w:val="18"/>
                <w:szCs w:val="18"/>
              </w:rPr>
              <w:t>ZORUNLU</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8304E" w:rsidRPr="000F335C" w:rsidP="000F335C">
            <w:pPr>
              <w:shd w:val="clear" w:color="auto" w:fill="FFFFFF"/>
              <w:spacing w:after="0" w:line="240" w:lineRule="auto"/>
              <w:textAlignment w:val="baseline"/>
              <w:rPr>
                <w:rFonts w:cs="Arial"/>
                <w:b/>
                <w:sz w:val="18"/>
                <w:szCs w:val="18"/>
              </w:rPr>
            </w:pPr>
            <w:r w:rsidRPr="000F335C">
              <w:rPr>
                <w:rFonts w:cs="Arial"/>
                <w:b/>
                <w:sz w:val="18"/>
                <w:szCs w:val="18"/>
              </w:rPr>
              <w:t>Su tankı dolu ikaz lambası</w:t>
            </w: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jc w:val="center"/>
              <w:rPr>
                <w:sz w:val="18"/>
                <w:szCs w:val="18"/>
              </w:rPr>
            </w:pPr>
            <w:r w:rsidRPr="000F335C">
              <w:rPr>
                <w:rFonts w:cs="Arial"/>
                <w:b/>
                <w:sz w:val="18"/>
                <w:szCs w:val="18"/>
              </w:rPr>
              <w:t>ZORUNLU</w:t>
            </w:r>
          </w:p>
        </w:tc>
      </w:tr>
      <w:tr w:rsidTr="00586366">
        <w:tblPrEx>
          <w:tblW w:w="9220" w:type="dxa"/>
          <w:jc w:val="center"/>
          <w:shd w:val="clear" w:color="auto" w:fill="FFFFFF"/>
          <w:tblCellMar>
            <w:left w:w="0" w:type="dxa"/>
            <w:right w:w="0" w:type="dxa"/>
          </w:tblCellMar>
          <w:tblLook w:val="04A0"/>
        </w:tblPrEx>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8304E" w:rsidRPr="000F335C" w:rsidP="000F335C">
            <w:pPr>
              <w:shd w:val="clear" w:color="auto" w:fill="FFFFFF"/>
              <w:spacing w:after="0" w:line="240" w:lineRule="auto"/>
              <w:textAlignment w:val="baseline"/>
              <w:rPr>
                <w:rFonts w:cs="Arial"/>
                <w:b/>
                <w:sz w:val="18"/>
                <w:szCs w:val="18"/>
              </w:rPr>
            </w:pPr>
            <w:r w:rsidRPr="000F335C">
              <w:rPr>
                <w:rFonts w:cs="Arial"/>
                <w:b/>
                <w:sz w:val="18"/>
                <w:szCs w:val="18"/>
              </w:rPr>
              <w:t>Su tank› dolunca otomatik olarak kapanma</w:t>
            </w: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jc w:val="center"/>
              <w:rPr>
                <w:sz w:val="18"/>
                <w:szCs w:val="18"/>
              </w:rPr>
            </w:pPr>
            <w:r w:rsidRPr="000F335C">
              <w:rPr>
                <w:rFonts w:cs="Arial"/>
                <w:b/>
                <w:sz w:val="18"/>
                <w:szCs w:val="18"/>
              </w:rPr>
              <w:t>ZORUNLU</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8304E" w:rsidRPr="000F335C" w:rsidP="000F335C">
            <w:pPr>
              <w:shd w:val="clear" w:color="auto" w:fill="FFFFFF"/>
              <w:spacing w:after="0" w:line="240" w:lineRule="auto"/>
              <w:textAlignment w:val="baseline"/>
              <w:rPr>
                <w:rFonts w:cs="Arial"/>
                <w:b/>
                <w:sz w:val="18"/>
                <w:szCs w:val="18"/>
              </w:rPr>
            </w:pPr>
            <w:r w:rsidRPr="000F335C">
              <w:rPr>
                <w:rFonts w:cs="Arial"/>
                <w:b/>
                <w:sz w:val="18"/>
                <w:szCs w:val="18"/>
              </w:rPr>
              <w:t>Sürekli drenaj için su gideri bağlantısı</w:t>
            </w: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jc w:val="center"/>
              <w:rPr>
                <w:sz w:val="18"/>
                <w:szCs w:val="18"/>
              </w:rPr>
            </w:pPr>
            <w:r w:rsidRPr="000F335C">
              <w:rPr>
                <w:rFonts w:cs="Arial"/>
                <w:b/>
                <w:sz w:val="18"/>
                <w:szCs w:val="18"/>
              </w:rPr>
              <w:t>ZORUNLU</w:t>
            </w:r>
          </w:p>
        </w:tc>
      </w:tr>
      <w:tr w:rsidTr="00586366">
        <w:tblPrEx>
          <w:tblW w:w="9220" w:type="dxa"/>
          <w:jc w:val="center"/>
          <w:shd w:val="clear" w:color="auto" w:fill="FFFFFF"/>
          <w:tblCellMar>
            <w:left w:w="0" w:type="dxa"/>
            <w:right w:w="0" w:type="dxa"/>
          </w:tblCellMar>
          <w:tblLook w:val="04A0"/>
        </w:tblPrEx>
        <w:trPr>
          <w:trHeight w:val="29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8304E" w:rsidRPr="000F335C" w:rsidP="000F335C">
            <w:pPr>
              <w:shd w:val="clear" w:color="auto" w:fill="FFFFFF"/>
              <w:spacing w:after="0" w:line="240" w:lineRule="auto"/>
              <w:textAlignment w:val="baseline"/>
              <w:rPr>
                <w:rFonts w:cs="Arial"/>
                <w:b/>
                <w:sz w:val="18"/>
                <w:szCs w:val="18"/>
              </w:rPr>
            </w:pPr>
            <w:r w:rsidRPr="000F335C">
              <w:rPr>
                <w:rFonts w:cs="Arial"/>
                <w:b/>
                <w:sz w:val="18"/>
                <w:szCs w:val="18"/>
              </w:rPr>
              <w:t>Kolay temizlenebilir hava filtresi</w:t>
            </w: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jc w:val="center"/>
              <w:rPr>
                <w:sz w:val="18"/>
                <w:szCs w:val="18"/>
              </w:rPr>
            </w:pPr>
            <w:r w:rsidRPr="000F335C">
              <w:rPr>
                <w:rFonts w:cs="Arial"/>
                <w:b/>
                <w:sz w:val="18"/>
                <w:szCs w:val="18"/>
              </w:rPr>
              <w:t>ZORUNLU</w:t>
            </w:r>
          </w:p>
        </w:tc>
      </w:tr>
      <w:tr w:rsidTr="000F335C">
        <w:tblPrEx>
          <w:tblW w:w="9220" w:type="dxa"/>
          <w:jc w:val="center"/>
          <w:shd w:val="clear" w:color="auto" w:fill="FFFFFF"/>
          <w:tblCellMar>
            <w:left w:w="0" w:type="dxa"/>
            <w:right w:w="0" w:type="dxa"/>
          </w:tblCellMar>
          <w:tblLook w:val="04A0"/>
        </w:tblPrEx>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F8304E" w:rsidRPr="000F335C" w:rsidP="000F335C">
            <w:pPr>
              <w:keepNext/>
              <w:keepLines/>
              <w:spacing w:after="0" w:line="360" w:lineRule="auto"/>
              <w:rPr>
                <w:rFonts w:cs="Arial"/>
                <w:b/>
                <w:sz w:val="18"/>
                <w:szCs w:val="18"/>
              </w:rPr>
            </w:pPr>
            <w:r w:rsidRPr="000F335C">
              <w:rPr>
                <w:rFonts w:cs="Arial"/>
                <w:b/>
                <w:sz w:val="18"/>
                <w:szCs w:val="18"/>
              </w:rPr>
              <w:t>Zaman Ayar</w:t>
            </w: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keepNext/>
              <w:keepLines/>
              <w:spacing w:after="0" w:line="360" w:lineRule="auto"/>
              <w:jc w:val="center"/>
              <w:rPr>
                <w:rFonts w:cs="Arial"/>
                <w:b/>
                <w:sz w:val="18"/>
                <w:szCs w:val="18"/>
              </w:rPr>
            </w:pPr>
          </w:p>
        </w:tc>
        <w:tc>
          <w:tcPr>
            <w:tcW w:w="0" w:type="auto"/>
            <w:tcBorders>
              <w:top w:val="nil"/>
              <w:left w:val="nil"/>
              <w:bottom w:val="single" w:sz="4" w:space="0" w:color="auto"/>
              <w:right w:val="single" w:sz="4" w:space="0" w:color="auto"/>
            </w:tcBorders>
            <w:shd w:val="clear" w:color="auto" w:fill="auto"/>
            <w:vAlign w:val="center"/>
          </w:tcPr>
          <w:p w:rsidR="00F8304E" w:rsidRPr="000F335C" w:rsidP="000F335C">
            <w:pPr>
              <w:jc w:val="center"/>
              <w:rPr>
                <w:sz w:val="18"/>
                <w:szCs w:val="18"/>
              </w:rPr>
            </w:pPr>
            <w:r w:rsidRPr="000F335C">
              <w:rPr>
                <w:rFonts w:cs="Arial"/>
                <w:b/>
                <w:sz w:val="18"/>
                <w:szCs w:val="18"/>
              </w:rPr>
              <w:t>ZORUNLU</w:t>
            </w:r>
          </w:p>
        </w:tc>
      </w:tr>
    </w:tbl>
    <w:p w:rsidR="00564676" w:rsidRPr="00564676" w:rsidP="00564676">
      <w:pPr>
        <w:rPr>
          <w:sz w:val="20"/>
        </w:rPr>
      </w:pPr>
    </w:p>
    <w:p w:rsidR="0018149E" w:rsidRPr="00D13D01" w:rsidP="00766AB9">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17" w:name="_Toc497321280"/>
      <w:bookmarkStart w:id="18" w:name="_Toc497321347"/>
      <w:bookmarkStart w:id="19" w:name="_Toc531083267"/>
      <w:bookmarkStart w:id="20" w:name="_Toc531083653"/>
      <w:bookmarkStart w:id="21" w:name="_Toc531083761"/>
      <w:bookmarkStart w:id="22" w:name="_Toc58574643"/>
      <w:bookmarkEnd w:id="17"/>
      <w:bookmarkEnd w:id="18"/>
      <w:bookmarkEnd w:id="19"/>
      <w:bookmarkEnd w:id="20"/>
      <w:bookmarkEnd w:id="21"/>
      <w:bookmarkEnd w:id="22"/>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3" w:name="_Toc497321282"/>
      <w:bookmarkStart w:id="24" w:name="_Toc497321349"/>
      <w:bookmarkStart w:id="25" w:name="_Toc531083268"/>
      <w:bookmarkStart w:id="26" w:name="_Toc531083654"/>
      <w:bookmarkStart w:id="27" w:name="_Toc531083762"/>
      <w:bookmarkStart w:id="28" w:name="_Toc58574644"/>
      <w:bookmarkEnd w:id="23"/>
      <w:bookmarkEnd w:id="24"/>
      <w:bookmarkEnd w:id="25"/>
      <w:bookmarkEnd w:id="26"/>
      <w:bookmarkEnd w:id="27"/>
      <w:bookmarkEnd w:id="28"/>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9" w:name="_Toc497321283"/>
      <w:bookmarkStart w:id="30" w:name="_Toc497321350"/>
      <w:bookmarkStart w:id="31" w:name="_Toc531083269"/>
      <w:bookmarkStart w:id="32" w:name="_Toc531083655"/>
      <w:bookmarkStart w:id="33" w:name="_Toc531083763"/>
      <w:bookmarkStart w:id="34" w:name="_Toc58574645"/>
      <w:bookmarkEnd w:id="29"/>
      <w:bookmarkEnd w:id="30"/>
      <w:bookmarkEnd w:id="31"/>
      <w:bookmarkEnd w:id="32"/>
      <w:bookmarkEnd w:id="33"/>
      <w:bookmarkEnd w:id="34"/>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5" w:name="_Toc497321284"/>
      <w:bookmarkStart w:id="36" w:name="_Toc497321351"/>
      <w:bookmarkStart w:id="37" w:name="_Toc531083270"/>
      <w:bookmarkStart w:id="38" w:name="_Toc531083656"/>
      <w:bookmarkStart w:id="39" w:name="_Toc531083764"/>
      <w:bookmarkStart w:id="40" w:name="_Toc58574646"/>
      <w:bookmarkEnd w:id="35"/>
      <w:bookmarkEnd w:id="36"/>
      <w:bookmarkEnd w:id="37"/>
      <w:bookmarkEnd w:id="38"/>
      <w:bookmarkEnd w:id="39"/>
      <w:bookmarkEnd w:id="40"/>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41" w:name="_Toc497321285"/>
      <w:bookmarkStart w:id="42" w:name="_Toc497321352"/>
      <w:bookmarkStart w:id="43" w:name="_Toc531083271"/>
      <w:bookmarkStart w:id="44" w:name="_Toc531083657"/>
      <w:bookmarkStart w:id="45" w:name="_Toc531083765"/>
      <w:bookmarkStart w:id="46" w:name="_Toc58574647"/>
      <w:bookmarkEnd w:id="41"/>
      <w:bookmarkEnd w:id="42"/>
      <w:bookmarkEnd w:id="43"/>
      <w:bookmarkEnd w:id="44"/>
      <w:bookmarkEnd w:id="45"/>
      <w:bookmarkEnd w:id="46"/>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47" w:name="_Toc497321286"/>
      <w:bookmarkStart w:id="48" w:name="_Toc497321353"/>
      <w:bookmarkStart w:id="49" w:name="_Toc531083272"/>
      <w:bookmarkStart w:id="50" w:name="_Toc531083658"/>
      <w:bookmarkStart w:id="51" w:name="_Toc531083766"/>
      <w:bookmarkStart w:id="52" w:name="_Toc58574648"/>
      <w:bookmarkEnd w:id="47"/>
      <w:bookmarkEnd w:id="48"/>
      <w:bookmarkEnd w:id="49"/>
      <w:bookmarkEnd w:id="50"/>
      <w:bookmarkEnd w:id="51"/>
      <w:bookmarkEnd w:id="52"/>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53" w:name="_Toc497321287"/>
      <w:bookmarkStart w:id="54" w:name="_Toc497321354"/>
      <w:bookmarkStart w:id="55" w:name="_Toc531083273"/>
      <w:bookmarkStart w:id="56" w:name="_Toc531083659"/>
      <w:bookmarkStart w:id="57" w:name="_Toc531083767"/>
      <w:bookmarkStart w:id="58" w:name="_Toc58574649"/>
      <w:bookmarkEnd w:id="53"/>
      <w:bookmarkEnd w:id="54"/>
      <w:bookmarkEnd w:id="55"/>
      <w:bookmarkEnd w:id="56"/>
      <w:bookmarkEnd w:id="57"/>
      <w:bookmarkEnd w:id="58"/>
    </w:p>
    <w:p w:rsidR="0018149E" w:rsidP="00766AB9">
      <w:pPr>
        <w:pStyle w:val="Heading1"/>
        <w:spacing w:before="0" w:after="0" w:line="360" w:lineRule="auto"/>
      </w:pPr>
      <w:bookmarkStart w:id="59" w:name="_Toc497292042"/>
      <w:bookmarkStart w:id="60" w:name="_Toc58574650"/>
      <w:r w:rsidRPr="0018149E">
        <w:t>GARANTİ VE BAKIM ŞARTLARI</w:t>
      </w:r>
      <w:bookmarkEnd w:id="59"/>
      <w:bookmarkEnd w:id="60"/>
    </w:p>
    <w:p w:rsidR="00241F2C" w:rsidRPr="00CE58AA" w:rsidP="000F335C">
      <w:pPr>
        <w:rPr>
          <w:b/>
        </w:rPr>
      </w:pPr>
      <w:r w:rsidRPr="00CE58AA" w:rsidR="00DB7FE6">
        <w:t>6.1 Nem Alma cihazının garanti süresi asgari 2 (iki) yıldır.</w:t>
      </w:r>
    </w:p>
    <w:p w:rsidR="00241F2C" w:rsidRPr="00CE58AA" w:rsidP="000F335C">
      <w:pPr>
        <w:rPr>
          <w:b/>
        </w:rPr>
      </w:pPr>
      <w:r w:rsidRPr="00CE58AA">
        <w:t>6.2 Garanti süresi içerisinde dışarıdan müdahale dışında arızalanan cihazlar ücretsiz olarak İSTEKLİ firma tarafından değiştirilecektir.</w:t>
      </w:r>
    </w:p>
    <w:p w:rsidR="0018149E" w:rsidRPr="00CE58AA" w:rsidP="000F335C">
      <w:pPr>
        <w:rPr>
          <w:b/>
        </w:rPr>
      </w:pPr>
      <w:r w:rsidRPr="00CE58AA">
        <w:t>6.3 Garanti kapsamında firmaya gönderilecek olan cihazların tüm ulaşım ve kargo giderleri İSTEKLİ firma tarafından karşılanacaktır.</w:t>
      </w:r>
    </w:p>
    <w:p w:rsidR="0018149E" w:rsidRPr="00D13D01" w:rsidP="00766AB9">
      <w:pPr>
        <w:pStyle w:val="h2madde"/>
        <w:spacing w:after="0" w:line="360" w:lineRule="auto"/>
      </w:pPr>
    </w:p>
    <w:p w:rsidR="0018149E" w:rsidRPr="00D13D01" w:rsidP="00766AB9">
      <w:pPr>
        <w:pStyle w:val="h2madde"/>
        <w:spacing w:after="0" w:line="360" w:lineRule="auto"/>
      </w:pPr>
    </w:p>
    <w:p w:rsidR="0018149E" w:rsidRPr="00691BEA" w:rsidP="00766AB9">
      <w:pPr>
        <w:spacing w:after="0" w:line="360" w:lineRule="auto"/>
      </w:pPr>
    </w:p>
    <w:sectPr w:rsidSect="00900E0C">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TŞ.059</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27.11.2018</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9.12.2020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3"/>
      <w:gridCol w:w="6549"/>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8pt;height:61.8pt" o:oleicon="f" o:ole="">
                <v:imagedata r:id="rId1" o:title=""/>
              </v:shape>
              <o:OLEObject Type="Embed" ProgID="PBrush" ShapeID="_x0000_i2049" DrawAspect="Content" ObjectID="_1669187382" r:id="rId2"/>
            </w:object>
          </w:r>
        </w:p>
      </w:tc>
      <w:tc>
        <w:tcPr>
          <w:tcW w:w="6873" w:type="dxa"/>
          <w:tcBorders>
            <w:top w:val="nil"/>
            <w:left w:val="nil"/>
            <w:right w:val="nil"/>
          </w:tcBorders>
          <w:vAlign w:val="center"/>
        </w:tcPr>
        <w:p w:rsidR="007F36E3" w:rsidRPr="00BC2489" w:rsidP="00BC2489">
          <w:pPr>
            <w:pStyle w:val="Header"/>
            <w:spacing w:line="360" w:lineRule="auto"/>
            <w:jc w:val="right"/>
            <w:rPr>
              <w:b/>
              <w:sz w:val="36"/>
              <w:szCs w:val="36"/>
            </w:rPr>
          </w:pPr>
          <w:r>
            <w:rPr>
              <w:b/>
              <w:sz w:val="36"/>
              <w:szCs w:val="36"/>
            </w:rPr>
            <w:t>NEM ALMA CİHAZI TEKNİK ŞARTNAMESİ</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2">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6">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8">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9">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0">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12">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3">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3"/>
  </w:num>
  <w:num w:numId="2">
    <w:abstractNumId w:val="3"/>
  </w:num>
  <w:num w:numId="3">
    <w:abstractNumId w:val="9"/>
  </w:num>
  <w:num w:numId="4">
    <w:abstractNumId w:val="8"/>
  </w:num>
  <w:num w:numId="5">
    <w:abstractNumId w:val="10"/>
  </w:num>
  <w:num w:numId="6">
    <w:abstractNumId w:val="5"/>
  </w:num>
  <w:num w:numId="7">
    <w:abstractNumId w:val="1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
  </w:num>
  <w:num w:numId="14">
    <w:abstractNumId w:val="14"/>
  </w:num>
  <w:num w:numId="15">
    <w:abstractNumId w:val="3"/>
  </w:num>
  <w:num w:numId="16">
    <w:abstractNumId w:val="3"/>
  </w:num>
  <w:num w:numId="17">
    <w:abstractNumId w:val="3"/>
  </w:num>
  <w:num w:numId="18">
    <w:abstractNumId w:val="3"/>
  </w:num>
  <w:num w:numId="19">
    <w:abstractNumId w:val="3"/>
  </w:num>
  <w:num w:numId="20">
    <w:abstractNumId w:val="6"/>
  </w:num>
  <w:num w:numId="21">
    <w:abstractNumId w:val="3"/>
  </w:num>
  <w:num w:numId="22">
    <w:abstractNumId w:val="0"/>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78F1"/>
    <w:rsid w:val="00016E0E"/>
    <w:rsid w:val="0001729C"/>
    <w:rsid w:val="0002422E"/>
    <w:rsid w:val="000267A2"/>
    <w:rsid w:val="00050008"/>
    <w:rsid w:val="00057BA7"/>
    <w:rsid w:val="00060B99"/>
    <w:rsid w:val="00063EA0"/>
    <w:rsid w:val="00067421"/>
    <w:rsid w:val="00072003"/>
    <w:rsid w:val="00075666"/>
    <w:rsid w:val="00081381"/>
    <w:rsid w:val="00097E88"/>
    <w:rsid w:val="000B6781"/>
    <w:rsid w:val="000E6142"/>
    <w:rsid w:val="000E743B"/>
    <w:rsid w:val="000E75F0"/>
    <w:rsid w:val="000F335C"/>
    <w:rsid w:val="0010590F"/>
    <w:rsid w:val="00131DF9"/>
    <w:rsid w:val="001354B7"/>
    <w:rsid w:val="0015020F"/>
    <w:rsid w:val="00152A6E"/>
    <w:rsid w:val="00155668"/>
    <w:rsid w:val="0017306C"/>
    <w:rsid w:val="00177538"/>
    <w:rsid w:val="0018149E"/>
    <w:rsid w:val="00186958"/>
    <w:rsid w:val="00195987"/>
    <w:rsid w:val="001B63D3"/>
    <w:rsid w:val="001C0C6A"/>
    <w:rsid w:val="001C1F85"/>
    <w:rsid w:val="001C3216"/>
    <w:rsid w:val="001C5DD1"/>
    <w:rsid w:val="001C6047"/>
    <w:rsid w:val="001D509B"/>
    <w:rsid w:val="001E7771"/>
    <w:rsid w:val="001F7395"/>
    <w:rsid w:val="00205342"/>
    <w:rsid w:val="00233EA7"/>
    <w:rsid w:val="002411E5"/>
    <w:rsid w:val="00241398"/>
    <w:rsid w:val="00241F2C"/>
    <w:rsid w:val="00272B07"/>
    <w:rsid w:val="00272DF6"/>
    <w:rsid w:val="00282850"/>
    <w:rsid w:val="00292234"/>
    <w:rsid w:val="00294958"/>
    <w:rsid w:val="002B4AF7"/>
    <w:rsid w:val="002D569C"/>
    <w:rsid w:val="002D7088"/>
    <w:rsid w:val="002E4F59"/>
    <w:rsid w:val="002F7E04"/>
    <w:rsid w:val="003035D0"/>
    <w:rsid w:val="003144F9"/>
    <w:rsid w:val="00314C25"/>
    <w:rsid w:val="003241F1"/>
    <w:rsid w:val="003277A9"/>
    <w:rsid w:val="00356ABE"/>
    <w:rsid w:val="0036230B"/>
    <w:rsid w:val="00363B42"/>
    <w:rsid w:val="00364628"/>
    <w:rsid w:val="00381F97"/>
    <w:rsid w:val="00382990"/>
    <w:rsid w:val="00383DB2"/>
    <w:rsid w:val="00391998"/>
    <w:rsid w:val="00397638"/>
    <w:rsid w:val="003A4461"/>
    <w:rsid w:val="003C166A"/>
    <w:rsid w:val="003C2400"/>
    <w:rsid w:val="003C65CF"/>
    <w:rsid w:val="003F3A44"/>
    <w:rsid w:val="003F4808"/>
    <w:rsid w:val="004109DB"/>
    <w:rsid w:val="004120E1"/>
    <w:rsid w:val="00425D7F"/>
    <w:rsid w:val="00434914"/>
    <w:rsid w:val="0043667F"/>
    <w:rsid w:val="00456457"/>
    <w:rsid w:val="00462359"/>
    <w:rsid w:val="0046536D"/>
    <w:rsid w:val="0047382E"/>
    <w:rsid w:val="004D5B0F"/>
    <w:rsid w:val="004E048F"/>
    <w:rsid w:val="004E0A5C"/>
    <w:rsid w:val="005012E9"/>
    <w:rsid w:val="00506952"/>
    <w:rsid w:val="00511AA7"/>
    <w:rsid w:val="005130F9"/>
    <w:rsid w:val="00517972"/>
    <w:rsid w:val="00521270"/>
    <w:rsid w:val="00544626"/>
    <w:rsid w:val="00544A78"/>
    <w:rsid w:val="005459CB"/>
    <w:rsid w:val="00553571"/>
    <w:rsid w:val="005541B7"/>
    <w:rsid w:val="00555BB1"/>
    <w:rsid w:val="00564676"/>
    <w:rsid w:val="0058062F"/>
    <w:rsid w:val="00582633"/>
    <w:rsid w:val="00586366"/>
    <w:rsid w:val="005A7314"/>
    <w:rsid w:val="005A7B92"/>
    <w:rsid w:val="005B2DA5"/>
    <w:rsid w:val="005C5EA6"/>
    <w:rsid w:val="005F1449"/>
    <w:rsid w:val="00637E80"/>
    <w:rsid w:val="0064699D"/>
    <w:rsid w:val="00652A45"/>
    <w:rsid w:val="00666481"/>
    <w:rsid w:val="00666949"/>
    <w:rsid w:val="00683A66"/>
    <w:rsid w:val="006870A0"/>
    <w:rsid w:val="00690673"/>
    <w:rsid w:val="00691BEA"/>
    <w:rsid w:val="00695A91"/>
    <w:rsid w:val="006C78C8"/>
    <w:rsid w:val="006D10A3"/>
    <w:rsid w:val="006D4F11"/>
    <w:rsid w:val="006E18DD"/>
    <w:rsid w:val="006E3989"/>
    <w:rsid w:val="006E5F43"/>
    <w:rsid w:val="006F00D4"/>
    <w:rsid w:val="006F19C8"/>
    <w:rsid w:val="006F4704"/>
    <w:rsid w:val="006F7C9D"/>
    <w:rsid w:val="00706732"/>
    <w:rsid w:val="007122AB"/>
    <w:rsid w:val="00723B79"/>
    <w:rsid w:val="00723DAC"/>
    <w:rsid w:val="0076299D"/>
    <w:rsid w:val="00766AB9"/>
    <w:rsid w:val="0078314A"/>
    <w:rsid w:val="0079770B"/>
    <w:rsid w:val="007A1DC7"/>
    <w:rsid w:val="007A5E17"/>
    <w:rsid w:val="007C254C"/>
    <w:rsid w:val="007D3BA7"/>
    <w:rsid w:val="007D445E"/>
    <w:rsid w:val="007F0E7C"/>
    <w:rsid w:val="007F36E3"/>
    <w:rsid w:val="008245F2"/>
    <w:rsid w:val="00833D26"/>
    <w:rsid w:val="008447B2"/>
    <w:rsid w:val="008563BB"/>
    <w:rsid w:val="00875F55"/>
    <w:rsid w:val="00897D97"/>
    <w:rsid w:val="008A2565"/>
    <w:rsid w:val="008C6479"/>
    <w:rsid w:val="008E6DEA"/>
    <w:rsid w:val="008F0A99"/>
    <w:rsid w:val="00900E0C"/>
    <w:rsid w:val="00902805"/>
    <w:rsid w:val="009130F5"/>
    <w:rsid w:val="009250E4"/>
    <w:rsid w:val="00927719"/>
    <w:rsid w:val="00982F3C"/>
    <w:rsid w:val="0099053D"/>
    <w:rsid w:val="009B399B"/>
    <w:rsid w:val="009B459C"/>
    <w:rsid w:val="009C6A28"/>
    <w:rsid w:val="009D3B57"/>
    <w:rsid w:val="009E6AC9"/>
    <w:rsid w:val="009F4CBC"/>
    <w:rsid w:val="00A0046C"/>
    <w:rsid w:val="00A111D4"/>
    <w:rsid w:val="00A124E9"/>
    <w:rsid w:val="00A201A7"/>
    <w:rsid w:val="00A237DF"/>
    <w:rsid w:val="00A26554"/>
    <w:rsid w:val="00A301D2"/>
    <w:rsid w:val="00A3432E"/>
    <w:rsid w:val="00A343BF"/>
    <w:rsid w:val="00A34977"/>
    <w:rsid w:val="00A41F1E"/>
    <w:rsid w:val="00A4763D"/>
    <w:rsid w:val="00A70FC7"/>
    <w:rsid w:val="00A7405B"/>
    <w:rsid w:val="00AA1324"/>
    <w:rsid w:val="00AA1F01"/>
    <w:rsid w:val="00AA2B9C"/>
    <w:rsid w:val="00AB1B1A"/>
    <w:rsid w:val="00AB3301"/>
    <w:rsid w:val="00AB53DA"/>
    <w:rsid w:val="00AB541B"/>
    <w:rsid w:val="00AB7F8E"/>
    <w:rsid w:val="00AD060F"/>
    <w:rsid w:val="00AE7960"/>
    <w:rsid w:val="00AF3052"/>
    <w:rsid w:val="00B05B31"/>
    <w:rsid w:val="00B2619C"/>
    <w:rsid w:val="00B37C5E"/>
    <w:rsid w:val="00B4137A"/>
    <w:rsid w:val="00B44E9B"/>
    <w:rsid w:val="00B502C9"/>
    <w:rsid w:val="00B521AB"/>
    <w:rsid w:val="00B52CFD"/>
    <w:rsid w:val="00B548E0"/>
    <w:rsid w:val="00B61B43"/>
    <w:rsid w:val="00B67094"/>
    <w:rsid w:val="00B741E8"/>
    <w:rsid w:val="00B8374E"/>
    <w:rsid w:val="00B86443"/>
    <w:rsid w:val="00B873BE"/>
    <w:rsid w:val="00B91BDA"/>
    <w:rsid w:val="00BB7875"/>
    <w:rsid w:val="00BC2489"/>
    <w:rsid w:val="00BD2BE9"/>
    <w:rsid w:val="00BE3369"/>
    <w:rsid w:val="00C21F3B"/>
    <w:rsid w:val="00C22EF5"/>
    <w:rsid w:val="00C532DC"/>
    <w:rsid w:val="00C7504F"/>
    <w:rsid w:val="00C803BA"/>
    <w:rsid w:val="00C847B6"/>
    <w:rsid w:val="00C8496E"/>
    <w:rsid w:val="00C85164"/>
    <w:rsid w:val="00C9048B"/>
    <w:rsid w:val="00CA30F2"/>
    <w:rsid w:val="00CA483B"/>
    <w:rsid w:val="00CB0C1F"/>
    <w:rsid w:val="00CC7AA6"/>
    <w:rsid w:val="00CE58AA"/>
    <w:rsid w:val="00CE5B98"/>
    <w:rsid w:val="00CF673B"/>
    <w:rsid w:val="00D13D01"/>
    <w:rsid w:val="00D22D98"/>
    <w:rsid w:val="00D240FD"/>
    <w:rsid w:val="00D31FD6"/>
    <w:rsid w:val="00D42D2E"/>
    <w:rsid w:val="00D96CDF"/>
    <w:rsid w:val="00DB7FE6"/>
    <w:rsid w:val="00DC1724"/>
    <w:rsid w:val="00E1684D"/>
    <w:rsid w:val="00E20277"/>
    <w:rsid w:val="00E22D3A"/>
    <w:rsid w:val="00E235C1"/>
    <w:rsid w:val="00E350FF"/>
    <w:rsid w:val="00E46E47"/>
    <w:rsid w:val="00E609B8"/>
    <w:rsid w:val="00E65C24"/>
    <w:rsid w:val="00E76A3B"/>
    <w:rsid w:val="00E82767"/>
    <w:rsid w:val="00EA14F9"/>
    <w:rsid w:val="00EA581C"/>
    <w:rsid w:val="00EB2023"/>
    <w:rsid w:val="00EC2C42"/>
    <w:rsid w:val="00EC5E85"/>
    <w:rsid w:val="00ED281A"/>
    <w:rsid w:val="00EF4FF9"/>
    <w:rsid w:val="00EF5FCD"/>
    <w:rsid w:val="00F00499"/>
    <w:rsid w:val="00F215FA"/>
    <w:rsid w:val="00F3610B"/>
    <w:rsid w:val="00F36550"/>
    <w:rsid w:val="00F37C91"/>
    <w:rsid w:val="00F40D89"/>
    <w:rsid w:val="00F44DB1"/>
    <w:rsid w:val="00F53C8B"/>
    <w:rsid w:val="00F6447C"/>
    <w:rsid w:val="00F77117"/>
    <w:rsid w:val="00F80489"/>
    <w:rsid w:val="00F80AFD"/>
    <w:rsid w:val="00F8304E"/>
    <w:rsid w:val="00F911E7"/>
    <w:rsid w:val="00F9135E"/>
    <w:rsid w:val="00F9739F"/>
    <w:rsid w:val="00FB2F61"/>
    <w:rsid w:val="00FB58CC"/>
    <w:rsid w:val="00FC1567"/>
    <w:rsid w:val="00FE18AB"/>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346C7B5A-25E7-4887-8FD9-CE96CBB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ind w:left="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72"/>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18149E"/>
    <w:pPr>
      <w:keepNext/>
      <w:keepLines/>
      <w:spacing w:after="220" w:line="240" w:lineRule="auto"/>
      <w:ind w:left="851" w:right="142"/>
      <w:jc w:val="both"/>
    </w:pPr>
    <w:rPr>
      <w:rFonts w:ascii="Arial" w:eastAsia="Times New Roman" w:hAnsi="Arial" w:cs="Times New Roman"/>
      <w:i/>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BCBB-73AA-4E83-BB58-70A3273E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479</Words>
  <Characters>2731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100842 Ipek Tutucu</cp:lastModifiedBy>
  <cp:revision>16</cp:revision>
  <dcterms:created xsi:type="dcterms:W3CDTF">2018-11-27T08:52:00Z</dcterms:created>
  <dcterms:modified xsi:type="dcterms:W3CDTF">2020-12-11T07:23:00Z</dcterms:modified>
</cp:coreProperties>
</file>